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EB" w:rsidRDefault="002647EB" w:rsidP="002647E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Содержание дисциплины в разрезе видов учебной работы</w:t>
      </w:r>
    </w:p>
    <w:tbl>
      <w:tblPr>
        <w:tblW w:w="1018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48"/>
        <w:gridCol w:w="850"/>
        <w:gridCol w:w="851"/>
        <w:gridCol w:w="836"/>
      </w:tblGrid>
      <w:tr w:rsidR="002647EB" w:rsidTr="0033696D">
        <w:trPr>
          <w:trHeight w:val="875"/>
        </w:trPr>
        <w:tc>
          <w:tcPr>
            <w:tcW w:w="7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7EB" w:rsidRDefault="0026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ТЕМ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EB" w:rsidRDefault="0026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учебной работы, часов </w:t>
            </w:r>
          </w:p>
        </w:tc>
      </w:tr>
      <w:tr w:rsidR="002647EB" w:rsidTr="0033696D">
        <w:trPr>
          <w:trHeight w:val="351"/>
        </w:trPr>
        <w:tc>
          <w:tcPr>
            <w:tcW w:w="7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7EB" w:rsidRDefault="002647EB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EB" w:rsidRDefault="0026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EB" w:rsidRDefault="0026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EB" w:rsidRDefault="0026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СРС</w:t>
            </w:r>
          </w:p>
        </w:tc>
      </w:tr>
      <w:tr w:rsidR="0033696D" w:rsidTr="0033696D"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D" w:rsidRPr="005B48B5" w:rsidRDefault="0033696D" w:rsidP="00B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Тема I. Введение в предмет</w:t>
            </w:r>
            <w:r w:rsidRPr="005B48B5">
              <w:rPr>
                <w:rFonts w:ascii="Times New Roman" w:hAnsi="Times New Roman" w:cs="Times New Roman"/>
                <w:sz w:val="21"/>
                <w:szCs w:val="21"/>
              </w:rPr>
              <w:t xml:space="preserve"> 1.1. Предмет и методология курса.1.2. Подходы к анализу отраслевых рынков.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D" w:rsidRPr="0096307E" w:rsidRDefault="0033696D" w:rsidP="00B2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D" w:rsidRPr="0096307E" w:rsidRDefault="0033696D" w:rsidP="00B2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D" w:rsidRPr="0096307E" w:rsidRDefault="0033696D" w:rsidP="00B2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33696D" w:rsidTr="0033696D"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D" w:rsidRPr="005B48B5" w:rsidRDefault="0033696D" w:rsidP="00B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Тема II. Отраслевой рынок, его структура и границы</w:t>
            </w:r>
          </w:p>
          <w:p w:rsidR="0033696D" w:rsidRPr="005B48B5" w:rsidRDefault="0033696D" w:rsidP="00B2047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B48B5">
              <w:rPr>
                <w:rFonts w:ascii="Times New Roman" w:hAnsi="Times New Roman" w:cs="Times New Roman"/>
                <w:sz w:val="21"/>
                <w:szCs w:val="21"/>
              </w:rPr>
              <w:t xml:space="preserve">2.1. Рынок и отрасль.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Многосторонние рынки и  цифровые платформы. </w:t>
            </w:r>
            <w:r w:rsidRPr="005B48B5">
              <w:rPr>
                <w:rFonts w:ascii="Times New Roman" w:hAnsi="Times New Roman" w:cs="Times New Roman"/>
                <w:sz w:val="21"/>
                <w:szCs w:val="21"/>
              </w:rPr>
              <w:t>Границы рынка: Современная методология и практика ограничения рынков.</w:t>
            </w:r>
            <w:r w:rsidRPr="000F6EB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Особенности ограничения цифровых рынков.</w:t>
            </w:r>
            <w:r w:rsidRPr="005B48B5">
              <w:rPr>
                <w:rFonts w:ascii="Times New Roman" w:hAnsi="Times New Roman" w:cs="Times New Roman"/>
                <w:sz w:val="21"/>
                <w:szCs w:val="21"/>
              </w:rPr>
              <w:t xml:space="preserve"> 2.2. Классификация рынков для целей анализа. 2.3. Анализ базисных условий функционирования отраслей и рынков.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D" w:rsidRPr="0096307E" w:rsidRDefault="0033696D" w:rsidP="00B2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D" w:rsidRPr="0096307E" w:rsidRDefault="0033696D" w:rsidP="00B2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D" w:rsidRPr="0096307E" w:rsidRDefault="0033696D" w:rsidP="00B2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33696D" w:rsidTr="0033696D"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D" w:rsidRPr="005B48B5" w:rsidRDefault="0033696D" w:rsidP="00B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III</w:t>
            </w: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. Концентрация и рыночная власть компаний </w:t>
            </w:r>
            <w:r w:rsidRPr="005B48B5">
              <w:rPr>
                <w:rFonts w:ascii="Times New Roman" w:hAnsi="Times New Roman" w:cs="Times New Roman"/>
                <w:sz w:val="21"/>
                <w:szCs w:val="21"/>
              </w:rPr>
              <w:t>4.1. Содержание и значение экономической концентрации. 4.2. Методология оценки и индикаторы экономической концентрации. 4.3. Рыночная власть, ее источники и показатели ее оценки.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Особенности оценки рыночной власти на цифровых рынках.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D" w:rsidRPr="0096307E" w:rsidRDefault="0033696D" w:rsidP="00B2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D" w:rsidRPr="0096307E" w:rsidRDefault="0033696D" w:rsidP="00B2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D" w:rsidRPr="0096307E" w:rsidRDefault="0033696D" w:rsidP="00B2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33696D" w:rsidTr="0033696D"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D" w:rsidRPr="005B48B5" w:rsidRDefault="0033696D" w:rsidP="00B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I</w:t>
            </w: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V. Исследование барьеров входа-выхода на отраслевом рынке. </w:t>
            </w:r>
            <w:r w:rsidRPr="005B48B5">
              <w:rPr>
                <w:rFonts w:ascii="Times New Roman" w:hAnsi="Times New Roman" w:cs="Times New Roman"/>
                <w:sz w:val="21"/>
                <w:szCs w:val="21"/>
              </w:rPr>
              <w:t>5.1. Экономическое содержание отраслевых барьеров и их роль в функционировании рынка.5.2. Нестратегические барьеры как фактор определяющий структуру рынка.5.3. Инновационный потенциал фирмы – источник стратегических барьеров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5B48B5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Pr="000F6EB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5.4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Big</w:t>
            </w:r>
            <w:r w:rsidRPr="000F6EB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Data</w:t>
            </w:r>
            <w:r w:rsidRPr="000F6EB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Network</w:t>
            </w:r>
            <w:r w:rsidRPr="000F6EB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Effects</w:t>
            </w:r>
            <w:r w:rsidRPr="000F6EB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Block</w:t>
            </w:r>
            <w:r w:rsidRPr="000F6EB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in</w:t>
            </w:r>
            <w:r w:rsidRPr="000F6EB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как</w:t>
            </w:r>
            <w:r w:rsidRPr="000F6EB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барьеры</w:t>
            </w:r>
            <w:r w:rsidRPr="000F6EB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на</w:t>
            </w:r>
            <w:r w:rsidRPr="000F6EB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цифровых</w:t>
            </w:r>
            <w:r w:rsidRPr="000F6EB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рынках</w:t>
            </w:r>
            <w:r w:rsidRPr="000F6EB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. </w:t>
            </w:r>
            <w:r w:rsidRPr="005B48B5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Pr="005B48B5">
              <w:rPr>
                <w:rFonts w:ascii="Times New Roman" w:hAnsi="Times New Roman" w:cs="Times New Roman"/>
                <w:sz w:val="21"/>
                <w:szCs w:val="21"/>
              </w:rPr>
              <w:t xml:space="preserve"> Методика оценки уровня отраслевых барьеров.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D" w:rsidRPr="0096307E" w:rsidRDefault="0033696D" w:rsidP="00B2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D" w:rsidRPr="0096307E" w:rsidRDefault="0033696D" w:rsidP="00B2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D" w:rsidRPr="0096307E" w:rsidRDefault="0033696D" w:rsidP="00B2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33696D" w:rsidTr="0033696D"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D" w:rsidRPr="005B48B5" w:rsidRDefault="0033696D" w:rsidP="00B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Тема V</w:t>
            </w: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. Стратегическое взаимодействие компаний. </w:t>
            </w:r>
            <w:r w:rsidRPr="005B48B5">
              <w:rPr>
                <w:rFonts w:ascii="Times New Roman" w:hAnsi="Times New Roman" w:cs="Times New Roman"/>
                <w:sz w:val="21"/>
                <w:szCs w:val="21"/>
              </w:rPr>
              <w:t>6.1. Некооперированные стратегии фирм: современная практика взаимодействия.6.2. Способы доминирования на современных рынках.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Доминирование цифровых платформ. </w:t>
            </w:r>
            <w:r w:rsidRPr="005B48B5">
              <w:rPr>
                <w:rFonts w:ascii="Times New Roman" w:hAnsi="Times New Roman" w:cs="Times New Roman"/>
                <w:sz w:val="21"/>
                <w:szCs w:val="21"/>
              </w:rPr>
              <w:t>6.3. Анализ современной практики кооперативного поведения фирм. Картель: факторы устойчивости соглашений.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Цифровые картели. </w:t>
            </w:r>
            <w:r w:rsidRPr="005B48B5">
              <w:rPr>
                <w:rFonts w:ascii="Times New Roman" w:hAnsi="Times New Roman" w:cs="Times New Roman"/>
                <w:sz w:val="21"/>
                <w:szCs w:val="21"/>
              </w:rPr>
              <w:t xml:space="preserve">6.4. Вертикальная интеграция и вертикальные контракты: влияние на конкуренцию. Слияния и поглощения на современных товарных рынках.6.5.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Стратегии диверсификации. Цифровые экосистемы.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D" w:rsidRPr="0096307E" w:rsidRDefault="0033696D" w:rsidP="00B2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D" w:rsidRPr="0096307E" w:rsidRDefault="0033696D" w:rsidP="00B2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D" w:rsidRPr="0096307E" w:rsidRDefault="0033696D" w:rsidP="00B2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33696D" w:rsidTr="0033696D"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D" w:rsidRPr="005B48B5" w:rsidRDefault="0033696D" w:rsidP="00B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Тема VI</w:t>
            </w: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. </w:t>
            </w:r>
            <w:proofErr w:type="spellStart"/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Квазимонопольное</w:t>
            </w:r>
            <w:proofErr w:type="spellEnd"/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поведение компаний на отраслевом рынке </w:t>
            </w:r>
            <w:r w:rsidRPr="005B48B5">
              <w:rPr>
                <w:rFonts w:ascii="Times New Roman" w:hAnsi="Times New Roman" w:cs="Times New Roman"/>
                <w:sz w:val="21"/>
                <w:szCs w:val="21"/>
              </w:rPr>
              <w:t xml:space="preserve">7.1. </w:t>
            </w:r>
            <w:proofErr w:type="spellStart"/>
            <w:r w:rsidRPr="005B48B5">
              <w:rPr>
                <w:rFonts w:ascii="Times New Roman" w:hAnsi="Times New Roman" w:cs="Times New Roman"/>
                <w:sz w:val="21"/>
                <w:szCs w:val="21"/>
              </w:rPr>
              <w:t>Квазимонопольные</w:t>
            </w:r>
            <w:proofErr w:type="spellEnd"/>
            <w:r w:rsidRPr="005B48B5">
              <w:rPr>
                <w:rFonts w:ascii="Times New Roman" w:hAnsi="Times New Roman" w:cs="Times New Roman"/>
                <w:sz w:val="21"/>
                <w:szCs w:val="21"/>
              </w:rPr>
              <w:t xml:space="preserve"> рынки и неценовая конкуренция.7.2. Продуктовая дифференциация, ее экономическая природа и источники. Вертикальная и горизонтальная дифференциация продукта.7.3. Информационная дифференциация: обоснование и оптимизация рекламных бюджетов.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D" w:rsidRPr="0096307E" w:rsidRDefault="0033696D" w:rsidP="00B2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D" w:rsidRPr="0096307E" w:rsidRDefault="0033696D" w:rsidP="00B2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D" w:rsidRPr="0096307E" w:rsidRDefault="0033696D" w:rsidP="00B2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33696D" w:rsidTr="0033696D">
        <w:trPr>
          <w:trHeight w:val="1073"/>
        </w:trPr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D" w:rsidRPr="005B48B5" w:rsidRDefault="0033696D" w:rsidP="00B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Тема VII. Рынок  естественной монополии. </w:t>
            </w:r>
            <w:r w:rsidRPr="005B48B5">
              <w:rPr>
                <w:rFonts w:ascii="Times New Roman" w:hAnsi="Times New Roman" w:cs="Times New Roman"/>
                <w:sz w:val="21"/>
                <w:szCs w:val="21"/>
              </w:rPr>
              <w:t>8.1. Естественная монополия и экономические эффекты монопольной власти.8.2. Практика государственного регулирования отраслей естественной монополии.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D" w:rsidRPr="0096307E" w:rsidRDefault="0033696D" w:rsidP="00B2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0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D" w:rsidRPr="0096307E" w:rsidRDefault="0033696D" w:rsidP="00B2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D" w:rsidRPr="0096307E" w:rsidRDefault="0033696D" w:rsidP="00B2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33696D" w:rsidTr="0033696D"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D" w:rsidRPr="005B48B5" w:rsidRDefault="0033696D" w:rsidP="00B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VIII</w:t>
            </w: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. Ценовая конкуренция и ценовые стратегии операторов. </w:t>
            </w:r>
            <w:r w:rsidRPr="005B48B5">
              <w:rPr>
                <w:rFonts w:ascii="Times New Roman" w:hAnsi="Times New Roman" w:cs="Times New Roman"/>
                <w:sz w:val="21"/>
                <w:szCs w:val="21"/>
              </w:rPr>
              <w:t>9.1. Роль и особенности ценовой конкуренции.9.2. Современная практика реализации ценовых стратегий.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Динамическое ценообразование на цифровых рынках.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D" w:rsidRPr="0096307E" w:rsidRDefault="0033696D" w:rsidP="00B2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D" w:rsidRPr="0096307E" w:rsidRDefault="0033696D" w:rsidP="00B2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D" w:rsidRPr="0096307E" w:rsidRDefault="0033696D" w:rsidP="00B2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33696D" w:rsidTr="0033696D"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D" w:rsidRPr="005B48B5" w:rsidRDefault="0033696D" w:rsidP="00B204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  <w:t>IX</w:t>
            </w:r>
            <w:r w:rsidRPr="005B48B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. Роль государства в развитии отраслевых рынков. </w:t>
            </w:r>
            <w:r w:rsidRPr="005B48B5">
              <w:rPr>
                <w:rFonts w:ascii="Times New Roman" w:hAnsi="Times New Roman" w:cs="Times New Roman"/>
                <w:sz w:val="21"/>
                <w:szCs w:val="21"/>
              </w:rPr>
              <w:t>12.1. Подходы к исследованию результативности отраслевых рынков.12.2. Формы и инструменты государственного регулирования отраслевых рынков.12.3. Антимонопольная и промышленная политика государства.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D" w:rsidRPr="0096307E" w:rsidRDefault="0033696D" w:rsidP="00B2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D" w:rsidRPr="0096307E" w:rsidRDefault="0033696D" w:rsidP="00B2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96D" w:rsidRPr="0096307E" w:rsidRDefault="0033696D" w:rsidP="00B204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</w:tbl>
    <w:p w:rsidR="0067331A" w:rsidRDefault="0067331A"/>
    <w:sectPr w:rsidR="0067331A" w:rsidSect="00673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647EB"/>
    <w:rsid w:val="000321BD"/>
    <w:rsid w:val="0017679F"/>
    <w:rsid w:val="002647EB"/>
    <w:rsid w:val="00270C2D"/>
    <w:rsid w:val="00272DA4"/>
    <w:rsid w:val="0033696D"/>
    <w:rsid w:val="00367878"/>
    <w:rsid w:val="00411B65"/>
    <w:rsid w:val="00491AF0"/>
    <w:rsid w:val="005332DB"/>
    <w:rsid w:val="00624292"/>
    <w:rsid w:val="0067331A"/>
    <w:rsid w:val="007A5486"/>
    <w:rsid w:val="007F42AB"/>
    <w:rsid w:val="008F321F"/>
    <w:rsid w:val="00B4393D"/>
    <w:rsid w:val="00C75BB4"/>
    <w:rsid w:val="00DA7E57"/>
    <w:rsid w:val="00F8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EB"/>
    <w:pPr>
      <w:jc w:val="both"/>
    </w:pPr>
    <w:rPr>
      <w:rFonts w:eastAsiaTheme="minorEastAs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Алексей</cp:lastModifiedBy>
  <cp:revision>4</cp:revision>
  <dcterms:created xsi:type="dcterms:W3CDTF">2022-11-23T11:48:00Z</dcterms:created>
  <dcterms:modified xsi:type="dcterms:W3CDTF">2023-12-28T20:18:00Z</dcterms:modified>
</cp:coreProperties>
</file>